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5" w:lineRule="auto"/>
      </w:pPr>
    </w:p>
    <w:p>
      <w:pPr>
        <w:pStyle w:val="2"/>
      </w:pPr>
    </w:p>
    <w:p>
      <w:pPr>
        <w:spacing w:before="140" w:line="221" w:lineRule="auto"/>
        <w:ind w:left="476"/>
        <w:rPr>
          <w:rFonts w:hint="default" w:ascii="宋体" w:hAnsi="宋体" w:eastAsia="宋体" w:cs="宋体"/>
          <w:spacing w:val="9"/>
          <w:sz w:val="43"/>
          <w:szCs w:val="43"/>
          <w:lang w:val="en-US" w:eastAsia="zh-CN"/>
          <w14:textOutline w14:w="6350" w14:cap="flat" w14:cmpd="sng">
            <w14:solidFill>
              <w14:srgbClr w14:val="000000"/>
            </w14:solidFill>
            <w14:prstDash w14:val="solid"/>
            <w14:miter w14:val="0"/>
          </w14:textOutline>
        </w:rPr>
      </w:pPr>
      <w:r>
        <w:rPr>
          <w:rFonts w:ascii="宋体" w:hAnsi="宋体" w:eastAsia="宋体" w:cs="宋体"/>
          <w:spacing w:val="9"/>
          <w:sz w:val="43"/>
          <w:szCs w:val="43"/>
          <w14:textOutline w14:w="6350" w14:cap="flat" w14:cmpd="sng">
            <w14:solidFill>
              <w14:srgbClr w14:val="000000"/>
            </w14:solidFill>
            <w14:prstDash w14:val="solid"/>
            <w14:miter w14:val="0"/>
          </w14:textOutline>
        </w:rPr>
        <w:t>东北财经大学研究生国家奖学金</w:t>
      </w:r>
      <w:r>
        <w:rPr>
          <w:rFonts w:hint="eastAsia" w:ascii="宋体" w:hAnsi="宋体" w:eastAsia="宋体" w:cs="宋体"/>
          <w:spacing w:val="9"/>
          <w:sz w:val="43"/>
          <w:szCs w:val="43"/>
          <w:lang w:val="en-US" w:eastAsia="zh-CN"/>
          <w14:textOutline w14:w="6350" w14:cap="flat" w14:cmpd="sng">
            <w14:solidFill>
              <w14:srgbClr w14:val="000000"/>
            </w14:solidFill>
            <w14:prstDash w14:val="solid"/>
            <w14:miter w14:val="0"/>
          </w14:textOutline>
        </w:rPr>
        <w:t>评审细则</w:t>
      </w:r>
    </w:p>
    <w:p>
      <w:pPr>
        <w:spacing w:before="140" w:line="221" w:lineRule="auto"/>
        <w:ind w:left="476"/>
        <w:rPr>
          <w:rFonts w:hint="eastAsia" w:ascii="宋体" w:hAnsi="宋体" w:eastAsia="宋体" w:cs="宋体"/>
          <w:spacing w:val="9"/>
          <w:sz w:val="43"/>
          <w:szCs w:val="43"/>
          <w:lang w:val="en-US" w:eastAsia="zh-CN"/>
          <w14:textOutline w14:w="6350" w14:cap="flat" w14:cmpd="sng">
            <w14:solidFill>
              <w14:srgbClr w14:val="000000"/>
            </w14:solidFill>
            <w14:prstDash w14:val="solid"/>
            <w14:miter w14:val="0"/>
          </w14:textOutline>
        </w:rPr>
      </w:pPr>
    </w:p>
    <w:p>
      <w:pPr>
        <w:spacing w:before="212" w:line="351" w:lineRule="auto"/>
        <w:ind w:firstLine="650"/>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 xml:space="preserve">第一条 </w:t>
      </w:r>
      <w:r>
        <w:rPr>
          <w:rFonts w:hint="eastAsia" w:ascii="仿宋" w:hAnsi="仿宋" w:eastAsia="仿宋" w:cs="仿宋"/>
          <w:snapToGrid w:val="0"/>
          <w:color w:val="000000"/>
          <w:spacing w:val="6"/>
          <w:kern w:val="0"/>
          <w:sz w:val="31"/>
          <w:szCs w:val="31"/>
          <w:lang w:val="en-US" w:eastAsia="en-US" w:bidi="ar-SA"/>
        </w:rPr>
        <w:t>为进一步做好研究生国家奖学金评审工作，规范研究生国家奖学金评审行为，保证评审工作公开、公平、公正、依法依章开展，确保评审质量和评审结果的权威性，</w:t>
      </w:r>
      <w:r>
        <w:rPr>
          <w:rFonts w:hint="eastAsia" w:ascii="仿宋" w:hAnsi="仿宋" w:eastAsia="仿宋" w:cs="仿宋"/>
          <w:snapToGrid w:val="0"/>
          <w:color w:val="000000"/>
          <w:spacing w:val="6"/>
          <w:kern w:val="0"/>
          <w:sz w:val="31"/>
          <w:szCs w:val="31"/>
          <w:lang w:val="en-US" w:eastAsia="zh-CN" w:bidi="ar-SA"/>
        </w:rPr>
        <w:t>根据</w:t>
      </w:r>
      <w:r>
        <w:rPr>
          <w:rFonts w:ascii="仿宋" w:hAnsi="仿宋" w:eastAsia="仿宋" w:cs="仿宋"/>
          <w:spacing w:val="7"/>
          <w:sz w:val="31"/>
          <w:szCs w:val="31"/>
        </w:rPr>
        <w:t>《财政部 教育部</w:t>
      </w:r>
      <w:r>
        <w:rPr>
          <w:rFonts w:ascii="仿宋" w:hAnsi="仿宋" w:eastAsia="仿宋" w:cs="仿宋"/>
          <w:spacing w:val="6"/>
          <w:sz w:val="31"/>
          <w:szCs w:val="31"/>
        </w:rPr>
        <w:t xml:space="preserve"> 人力资源社</w:t>
      </w:r>
      <w:r>
        <w:rPr>
          <w:rFonts w:ascii="仿宋" w:hAnsi="仿宋" w:eastAsia="仿宋" w:cs="仿宋"/>
          <w:spacing w:val="4"/>
          <w:sz w:val="31"/>
          <w:szCs w:val="31"/>
        </w:rPr>
        <w:t>会保障部 退役军人部</w:t>
      </w:r>
      <w:r>
        <w:rPr>
          <w:rFonts w:ascii="仿宋" w:hAnsi="仿宋" w:eastAsia="仿宋" w:cs="仿宋"/>
          <w:spacing w:val="85"/>
          <w:sz w:val="31"/>
          <w:szCs w:val="31"/>
        </w:rPr>
        <w:t xml:space="preserve"> </w:t>
      </w:r>
      <w:r>
        <w:rPr>
          <w:rFonts w:ascii="仿宋" w:hAnsi="仿宋" w:eastAsia="仿宋" w:cs="仿宋"/>
          <w:spacing w:val="4"/>
          <w:sz w:val="31"/>
          <w:szCs w:val="31"/>
        </w:rPr>
        <w:t>中央军委国防动员部关于印发〈学生资助</w:t>
      </w:r>
      <w:r>
        <w:rPr>
          <w:rFonts w:ascii="仿宋" w:hAnsi="仿宋" w:eastAsia="仿宋" w:cs="仿宋"/>
          <w:spacing w:val="-11"/>
          <w:sz w:val="31"/>
          <w:szCs w:val="31"/>
        </w:rPr>
        <w:t>资金管理办法〉的通知》（财教〔2021〕31</w:t>
      </w:r>
      <w:r>
        <w:rPr>
          <w:rFonts w:ascii="仿宋" w:hAnsi="仿宋" w:eastAsia="仿宋" w:cs="仿宋"/>
          <w:spacing w:val="-12"/>
          <w:sz w:val="31"/>
          <w:szCs w:val="31"/>
        </w:rPr>
        <w:t>0</w:t>
      </w:r>
      <w:r>
        <w:rPr>
          <w:rFonts w:ascii="仿宋" w:hAnsi="仿宋" w:eastAsia="仿宋" w:cs="仿宋"/>
          <w:spacing w:val="-46"/>
          <w:sz w:val="31"/>
          <w:szCs w:val="31"/>
        </w:rPr>
        <w:t xml:space="preserve"> </w:t>
      </w:r>
      <w:r>
        <w:rPr>
          <w:rFonts w:ascii="仿宋" w:hAnsi="仿宋" w:eastAsia="仿宋" w:cs="仿宋"/>
          <w:spacing w:val="-12"/>
          <w:sz w:val="31"/>
          <w:szCs w:val="31"/>
        </w:rPr>
        <w:t>号）、《辽宁省财政厅</w:t>
      </w:r>
      <w:r>
        <w:rPr>
          <w:rFonts w:ascii="仿宋" w:hAnsi="仿宋" w:eastAsia="仿宋" w:cs="仿宋"/>
          <w:sz w:val="31"/>
          <w:szCs w:val="31"/>
        </w:rPr>
        <w:t xml:space="preserve"> </w:t>
      </w:r>
      <w:r>
        <w:rPr>
          <w:rFonts w:ascii="仿宋" w:hAnsi="仿宋" w:eastAsia="仿宋" w:cs="仿宋"/>
          <w:spacing w:val="11"/>
          <w:sz w:val="31"/>
          <w:szCs w:val="31"/>
        </w:rPr>
        <w:t>教育厅 人力资源和社会保障厅 退役军人事务厅</w:t>
      </w:r>
      <w:r>
        <w:rPr>
          <w:rFonts w:ascii="仿宋" w:hAnsi="仿宋" w:eastAsia="仿宋" w:cs="仿宋"/>
          <w:spacing w:val="44"/>
          <w:sz w:val="31"/>
          <w:szCs w:val="31"/>
        </w:rPr>
        <w:t xml:space="preserve"> </w:t>
      </w:r>
      <w:r>
        <w:rPr>
          <w:rFonts w:ascii="仿宋" w:hAnsi="仿宋" w:eastAsia="仿宋" w:cs="仿宋"/>
          <w:spacing w:val="11"/>
          <w:sz w:val="31"/>
          <w:szCs w:val="31"/>
        </w:rPr>
        <w:t>军区国防动员</w:t>
      </w:r>
      <w:r>
        <w:rPr>
          <w:rFonts w:ascii="仿宋" w:hAnsi="仿宋" w:eastAsia="仿宋" w:cs="仿宋"/>
          <w:sz w:val="31"/>
          <w:szCs w:val="31"/>
        </w:rPr>
        <w:t xml:space="preserve"> </w:t>
      </w:r>
      <w:r>
        <w:rPr>
          <w:rFonts w:ascii="仿宋" w:hAnsi="仿宋" w:eastAsia="仿宋" w:cs="仿宋"/>
          <w:spacing w:val="7"/>
          <w:sz w:val="31"/>
          <w:szCs w:val="31"/>
        </w:rPr>
        <w:t>局关于印发〈辽宁省学生资助资金管理办法〉的通知》（辽财教</w:t>
      </w:r>
      <w:r>
        <w:rPr>
          <w:rFonts w:ascii="仿宋" w:hAnsi="仿宋" w:eastAsia="仿宋" w:cs="仿宋"/>
          <w:spacing w:val="3"/>
          <w:sz w:val="31"/>
          <w:szCs w:val="31"/>
        </w:rPr>
        <w:t>规〔2023〕8</w:t>
      </w:r>
      <w:r>
        <w:rPr>
          <w:rFonts w:ascii="仿宋" w:hAnsi="仿宋" w:eastAsia="仿宋" w:cs="仿宋"/>
          <w:spacing w:val="-46"/>
          <w:sz w:val="31"/>
          <w:szCs w:val="31"/>
        </w:rPr>
        <w:t xml:space="preserve"> </w:t>
      </w:r>
      <w:r>
        <w:rPr>
          <w:rFonts w:ascii="仿宋" w:hAnsi="仿宋" w:eastAsia="仿宋" w:cs="仿宋"/>
          <w:spacing w:val="3"/>
          <w:sz w:val="31"/>
          <w:szCs w:val="31"/>
        </w:rPr>
        <w:t>号）及《教育部 财政部关于印发〈普通</w:t>
      </w:r>
      <w:r>
        <w:rPr>
          <w:rFonts w:ascii="仿宋" w:hAnsi="仿宋" w:eastAsia="仿宋" w:cs="仿宋"/>
          <w:spacing w:val="2"/>
          <w:sz w:val="31"/>
          <w:szCs w:val="31"/>
        </w:rPr>
        <w:t>高等学校研</w:t>
      </w:r>
      <w:r>
        <w:rPr>
          <w:rFonts w:ascii="仿宋" w:hAnsi="仿宋" w:eastAsia="仿宋" w:cs="仿宋"/>
          <w:spacing w:val="-2"/>
          <w:sz w:val="31"/>
          <w:szCs w:val="31"/>
        </w:rPr>
        <w:t>究生国家奖学金评审办法〉的通知》（教财〔2014〕1</w:t>
      </w:r>
      <w:r>
        <w:rPr>
          <w:rFonts w:ascii="仿宋" w:hAnsi="仿宋" w:eastAsia="仿宋" w:cs="仿宋"/>
          <w:spacing w:val="-46"/>
          <w:sz w:val="31"/>
          <w:szCs w:val="31"/>
        </w:rPr>
        <w:t xml:space="preserve"> </w:t>
      </w:r>
      <w:r>
        <w:rPr>
          <w:rFonts w:ascii="仿宋" w:hAnsi="仿宋" w:eastAsia="仿宋" w:cs="仿宋"/>
          <w:spacing w:val="-2"/>
          <w:sz w:val="31"/>
          <w:szCs w:val="31"/>
        </w:rPr>
        <w:t>号）的</w:t>
      </w:r>
      <w:r>
        <w:rPr>
          <w:rFonts w:ascii="仿宋" w:hAnsi="仿宋" w:eastAsia="仿宋" w:cs="仿宋"/>
          <w:spacing w:val="-3"/>
          <w:sz w:val="31"/>
          <w:szCs w:val="31"/>
        </w:rPr>
        <w:t>有关</w:t>
      </w:r>
      <w:r>
        <w:rPr>
          <w:rFonts w:ascii="仿宋" w:hAnsi="仿宋" w:eastAsia="仿宋" w:cs="仿宋"/>
          <w:spacing w:val="8"/>
          <w:sz w:val="31"/>
          <w:szCs w:val="31"/>
        </w:rPr>
        <w:t>规定，</w:t>
      </w:r>
      <w:r>
        <w:rPr>
          <w:rFonts w:hint="eastAsia" w:ascii="仿宋" w:hAnsi="仿宋" w:eastAsia="仿宋" w:cs="仿宋"/>
          <w:snapToGrid w:val="0"/>
          <w:color w:val="000000"/>
          <w:spacing w:val="6"/>
          <w:kern w:val="0"/>
          <w:sz w:val="31"/>
          <w:szCs w:val="31"/>
          <w:lang w:val="en-US" w:eastAsia="en-US" w:bidi="ar-SA"/>
        </w:rPr>
        <w:t>结合学校实际情况，制</w:t>
      </w:r>
      <w:r>
        <w:rPr>
          <w:rFonts w:hint="eastAsia" w:ascii="仿宋" w:hAnsi="仿宋" w:eastAsia="仿宋" w:cs="仿宋"/>
          <w:snapToGrid w:val="0"/>
          <w:color w:val="000000"/>
          <w:spacing w:val="6"/>
          <w:kern w:val="0"/>
          <w:sz w:val="31"/>
          <w:szCs w:val="31"/>
          <w:lang w:val="en-US" w:eastAsia="zh-CN" w:bidi="ar-SA"/>
        </w:rPr>
        <w:t>定本细则。</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第二条 评审工作应遵循以下原则：</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en-US" w:bidi="ar-SA"/>
        </w:rPr>
      </w:pPr>
      <w:r>
        <w:rPr>
          <w:rFonts w:hint="eastAsia" w:ascii="仿宋" w:hAnsi="仿宋" w:eastAsia="仿宋" w:cs="仿宋"/>
          <w:snapToGrid w:val="0"/>
          <w:color w:val="000000"/>
          <w:spacing w:val="6"/>
          <w:kern w:val="0"/>
          <w:sz w:val="31"/>
          <w:szCs w:val="31"/>
          <w:lang w:val="en-US" w:eastAsia="en-US" w:bidi="ar-SA"/>
        </w:rPr>
        <w:t>（一）平等原则，即在评审过程中，积极听取其他委员的意见，在平等、协商的气氛中提出评审意见；</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en-US" w:bidi="ar-SA"/>
        </w:rPr>
      </w:pPr>
      <w:r>
        <w:rPr>
          <w:rFonts w:hint="eastAsia" w:ascii="仿宋" w:hAnsi="仿宋" w:eastAsia="仿宋" w:cs="仿宋"/>
          <w:snapToGrid w:val="0"/>
          <w:color w:val="000000"/>
          <w:spacing w:val="6"/>
          <w:kern w:val="0"/>
          <w:sz w:val="31"/>
          <w:szCs w:val="31"/>
          <w:lang w:val="en-US" w:eastAsia="en-US" w:bidi="ar-SA"/>
        </w:rPr>
        <w:t>（二）回避原则，即发生与评审对象存在亲属关系、直接经济利益关系或有其他可能影响评审工作公平公正的情形时，应主动向评审委员会申请回避；</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en-US" w:bidi="ar-SA"/>
        </w:rPr>
      </w:pPr>
      <w:r>
        <w:rPr>
          <w:rFonts w:hint="eastAsia" w:ascii="仿宋" w:hAnsi="仿宋" w:eastAsia="仿宋" w:cs="仿宋"/>
          <w:snapToGrid w:val="0"/>
          <w:color w:val="000000"/>
          <w:spacing w:val="6"/>
          <w:kern w:val="0"/>
          <w:sz w:val="31"/>
          <w:szCs w:val="31"/>
          <w:lang w:val="en-US" w:eastAsia="en-US" w:bidi="ar-SA"/>
        </w:rPr>
        <w:t>（三）公正原则，即不得利用评审委员的特殊身份和影响力，单独或与有关人员共同为评审对象提供获奖便利；</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en-US" w:bidi="ar-SA"/>
        </w:rPr>
      </w:pPr>
      <w:r>
        <w:rPr>
          <w:rFonts w:hint="eastAsia" w:ascii="仿宋" w:hAnsi="仿宋" w:eastAsia="仿宋" w:cs="仿宋"/>
          <w:snapToGrid w:val="0"/>
          <w:color w:val="000000"/>
          <w:spacing w:val="6"/>
          <w:kern w:val="0"/>
          <w:sz w:val="31"/>
          <w:szCs w:val="31"/>
          <w:lang w:val="en-US" w:eastAsia="en-US" w:bidi="ar-SA"/>
        </w:rPr>
        <w:t>（四）保密原则，即不得擅自披露评审结果及其他评审委员的意见等相关保密信息。</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en-US" w:bidi="ar-SA"/>
        </w:rPr>
      </w:pPr>
      <w:r>
        <w:rPr>
          <w:rFonts w:hint="eastAsia" w:ascii="仿宋" w:hAnsi="仿宋" w:eastAsia="仿宋" w:cs="仿宋"/>
          <w:snapToGrid w:val="0"/>
          <w:color w:val="000000"/>
          <w:spacing w:val="6"/>
          <w:kern w:val="0"/>
          <w:sz w:val="31"/>
          <w:szCs w:val="31"/>
          <w:lang w:val="en-US" w:eastAsia="en-US" w:bidi="ar-SA"/>
        </w:rPr>
        <w:t>第</w:t>
      </w:r>
      <w:r>
        <w:rPr>
          <w:rFonts w:hint="eastAsia" w:ascii="仿宋" w:hAnsi="仿宋" w:eastAsia="仿宋" w:cs="仿宋"/>
          <w:snapToGrid w:val="0"/>
          <w:color w:val="000000"/>
          <w:spacing w:val="6"/>
          <w:kern w:val="0"/>
          <w:sz w:val="31"/>
          <w:szCs w:val="31"/>
          <w:lang w:val="en-US" w:eastAsia="zh-CN" w:bidi="ar-SA"/>
        </w:rPr>
        <w:t>三</w:t>
      </w:r>
      <w:r>
        <w:rPr>
          <w:rFonts w:hint="eastAsia" w:ascii="仿宋" w:hAnsi="仿宋" w:eastAsia="仿宋" w:cs="仿宋"/>
          <w:snapToGrid w:val="0"/>
          <w:color w:val="000000"/>
          <w:spacing w:val="6"/>
          <w:kern w:val="0"/>
          <w:sz w:val="31"/>
          <w:szCs w:val="31"/>
          <w:lang w:val="en-US" w:eastAsia="en-US" w:bidi="ar-SA"/>
        </w:rPr>
        <w:t>条</w:t>
      </w:r>
      <w:r>
        <w:rPr>
          <w:rFonts w:hint="eastAsia" w:ascii="仿宋" w:hAnsi="仿宋" w:eastAsia="仿宋" w:cs="仿宋"/>
          <w:snapToGrid w:val="0"/>
          <w:color w:val="000000"/>
          <w:spacing w:val="6"/>
          <w:kern w:val="0"/>
          <w:sz w:val="31"/>
          <w:szCs w:val="31"/>
          <w:lang w:val="en-US" w:eastAsia="zh-CN" w:bidi="ar-SA"/>
        </w:rPr>
        <w:t xml:space="preserve"> </w:t>
      </w:r>
      <w:r>
        <w:rPr>
          <w:rFonts w:hint="eastAsia" w:ascii="仿宋" w:hAnsi="仿宋" w:eastAsia="仿宋" w:cs="仿宋"/>
          <w:snapToGrid w:val="0"/>
          <w:color w:val="000000"/>
          <w:spacing w:val="6"/>
          <w:kern w:val="0"/>
          <w:sz w:val="31"/>
          <w:szCs w:val="31"/>
          <w:lang w:val="en-US" w:eastAsia="en-US" w:bidi="ar-SA"/>
        </w:rPr>
        <w:t>在分配研究生国家奖学金名额时，在</w:t>
      </w:r>
      <w:r>
        <w:rPr>
          <w:rFonts w:hint="eastAsia" w:ascii="仿宋" w:hAnsi="仿宋" w:eastAsia="仿宋" w:cs="仿宋"/>
          <w:snapToGrid w:val="0"/>
          <w:color w:val="000000"/>
          <w:spacing w:val="6"/>
          <w:kern w:val="0"/>
          <w:sz w:val="31"/>
          <w:szCs w:val="31"/>
          <w:lang w:val="en-US" w:eastAsia="zh-CN" w:bidi="ar-SA"/>
        </w:rPr>
        <w:t>各</w:t>
      </w:r>
      <w:r>
        <w:rPr>
          <w:rFonts w:hint="eastAsia" w:ascii="仿宋" w:hAnsi="仿宋" w:eastAsia="仿宋" w:cs="仿宋"/>
          <w:snapToGrid w:val="0"/>
          <w:color w:val="000000"/>
          <w:spacing w:val="6"/>
          <w:kern w:val="0"/>
          <w:sz w:val="31"/>
          <w:szCs w:val="31"/>
          <w:lang w:val="en-US" w:eastAsia="en-US" w:bidi="ar-SA"/>
        </w:rPr>
        <w:t>培养单位研究生规模的基础上，</w:t>
      </w:r>
      <w:r>
        <w:rPr>
          <w:rFonts w:hint="eastAsia" w:ascii="仿宋" w:hAnsi="仿宋" w:eastAsia="仿宋" w:cs="仿宋"/>
          <w:snapToGrid w:val="0"/>
          <w:color w:val="000000"/>
          <w:spacing w:val="6"/>
          <w:kern w:val="0"/>
          <w:sz w:val="31"/>
          <w:szCs w:val="31"/>
          <w:lang w:val="en-US" w:eastAsia="zh-CN" w:bidi="ar-SA"/>
        </w:rPr>
        <w:t>学校</w:t>
      </w:r>
      <w:r>
        <w:rPr>
          <w:rFonts w:hint="eastAsia" w:ascii="仿宋" w:hAnsi="仿宋" w:eastAsia="仿宋" w:cs="仿宋"/>
          <w:snapToGrid w:val="0"/>
          <w:color w:val="000000"/>
          <w:spacing w:val="6"/>
          <w:kern w:val="0"/>
          <w:sz w:val="31"/>
          <w:szCs w:val="31"/>
          <w:lang w:val="en-US" w:eastAsia="en-US" w:bidi="ar-SA"/>
        </w:rPr>
        <w:t>对培养质量较高的</w:t>
      </w:r>
      <w:r>
        <w:rPr>
          <w:rFonts w:hint="eastAsia" w:ascii="仿宋" w:hAnsi="仿宋" w:eastAsia="仿宋" w:cs="仿宋"/>
          <w:snapToGrid w:val="0"/>
          <w:color w:val="000000"/>
          <w:spacing w:val="6"/>
          <w:kern w:val="0"/>
          <w:sz w:val="31"/>
          <w:szCs w:val="31"/>
          <w:lang w:val="en-US" w:eastAsia="zh-CN" w:bidi="ar-SA"/>
        </w:rPr>
        <w:t>培养</w:t>
      </w:r>
      <w:r>
        <w:rPr>
          <w:rFonts w:hint="eastAsia" w:ascii="仿宋" w:hAnsi="仿宋" w:eastAsia="仿宋" w:cs="仿宋"/>
          <w:snapToGrid w:val="0"/>
          <w:color w:val="000000"/>
          <w:spacing w:val="6"/>
          <w:kern w:val="0"/>
          <w:sz w:val="31"/>
          <w:szCs w:val="31"/>
          <w:lang w:val="en-US" w:eastAsia="en-US" w:bidi="ar-SA"/>
        </w:rPr>
        <w:t>单位、学校特色优势学科、基础学科和国家亟需学科予以适当倾斜。</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第四条 申报要求</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_GB2312" w:eastAsia="仿宋_GB2312"/>
          <w:sz w:val="32"/>
          <w:szCs w:val="32"/>
          <w:lang w:val="en-US" w:eastAsia="zh-CN"/>
        </w:rPr>
      </w:pPr>
      <w:r>
        <w:rPr>
          <w:rFonts w:hint="eastAsia" w:ascii="仿宋" w:hAnsi="仿宋" w:eastAsia="仿宋" w:cs="仿宋"/>
          <w:snapToGrid w:val="0"/>
          <w:color w:val="000000"/>
          <w:spacing w:val="6"/>
          <w:kern w:val="0"/>
          <w:sz w:val="31"/>
          <w:szCs w:val="31"/>
          <w:lang w:val="en-US" w:eastAsia="zh-CN" w:bidi="ar-SA"/>
        </w:rPr>
        <w:t>1.</w:t>
      </w:r>
      <w:r>
        <w:rPr>
          <w:rFonts w:hint="eastAsia" w:ascii="仿宋" w:hAnsi="仿宋" w:eastAsia="仿宋" w:cs="仿宋"/>
          <w:color w:val="auto"/>
          <w:sz w:val="32"/>
          <w:szCs w:val="32"/>
        </w:rPr>
        <w:t>扎实掌握本学科的基础理论和专业知识，学习成绩优秀。</w:t>
      </w:r>
      <w:r>
        <w:rPr>
          <w:rFonts w:hint="eastAsia" w:ascii="仿宋_GB2312" w:eastAsia="仿宋_GB2312"/>
          <w:sz w:val="32"/>
          <w:szCs w:val="32"/>
          <w:lang w:val="en-US" w:eastAsia="zh-CN"/>
        </w:rPr>
        <w:t>所学课程平均成绩须在本专业排名前60%，无重修记录，即没有因首次考试不及格而重修科目。科研成果突出者，学习成绩要求可以适当放宽。</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2.</w:t>
      </w:r>
      <w:r>
        <w:rPr>
          <w:rFonts w:hint="eastAsia" w:ascii="仿宋" w:hAnsi="仿宋" w:eastAsia="仿宋" w:cs="仿宋"/>
          <w:snapToGrid w:val="0"/>
          <w:color w:val="000000"/>
          <w:spacing w:val="6"/>
          <w:kern w:val="0"/>
          <w:sz w:val="31"/>
          <w:szCs w:val="31"/>
          <w:lang w:val="en-US" w:eastAsia="en-US" w:bidi="ar-SA"/>
        </w:rPr>
        <w:t>积极参加各项学术活动，积极参与科研项目或研究生创新项目，具有较强</w:t>
      </w:r>
      <w:r>
        <w:rPr>
          <w:rFonts w:hint="eastAsia" w:ascii="仿宋" w:hAnsi="仿宋" w:eastAsia="仿宋" w:cs="仿宋"/>
          <w:snapToGrid w:val="0"/>
          <w:color w:val="000000"/>
          <w:spacing w:val="6"/>
          <w:kern w:val="0"/>
          <w:sz w:val="31"/>
          <w:szCs w:val="31"/>
          <w:lang w:val="en-US" w:eastAsia="zh-CN" w:bidi="ar-SA"/>
        </w:rPr>
        <w:t>的</w:t>
      </w:r>
      <w:r>
        <w:rPr>
          <w:rFonts w:hint="eastAsia" w:ascii="仿宋" w:hAnsi="仿宋" w:eastAsia="仿宋" w:cs="仿宋"/>
          <w:snapToGrid w:val="0"/>
          <w:color w:val="000000"/>
          <w:spacing w:val="6"/>
          <w:kern w:val="0"/>
          <w:sz w:val="31"/>
          <w:szCs w:val="31"/>
          <w:lang w:val="en-US" w:eastAsia="en-US" w:bidi="ar-SA"/>
        </w:rPr>
        <w:t>科研能力和专业素养</w:t>
      </w:r>
      <w:r>
        <w:rPr>
          <w:rFonts w:hint="eastAsia" w:ascii="仿宋" w:hAnsi="仿宋" w:eastAsia="仿宋" w:cs="仿宋"/>
          <w:snapToGrid w:val="0"/>
          <w:color w:val="000000"/>
          <w:spacing w:val="6"/>
          <w:kern w:val="0"/>
          <w:sz w:val="31"/>
          <w:szCs w:val="31"/>
          <w:lang w:val="en-US" w:eastAsia="zh-CN" w:bidi="ar-SA"/>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en-US" w:bidi="ar-SA"/>
        </w:rPr>
      </w:pPr>
      <w:r>
        <w:rPr>
          <w:rFonts w:hint="eastAsia" w:ascii="仿宋" w:hAnsi="仿宋" w:eastAsia="仿宋" w:cs="仿宋"/>
          <w:snapToGrid w:val="0"/>
          <w:color w:val="000000"/>
          <w:spacing w:val="6"/>
          <w:kern w:val="0"/>
          <w:sz w:val="31"/>
          <w:szCs w:val="31"/>
          <w:lang w:val="en-US" w:eastAsia="zh-CN" w:bidi="ar-SA"/>
        </w:rPr>
        <w:t>（1）科研成果：</w:t>
      </w:r>
      <w:r>
        <w:rPr>
          <w:rFonts w:hint="eastAsia" w:ascii="仿宋" w:hAnsi="仿宋" w:eastAsia="仿宋" w:cs="仿宋"/>
          <w:snapToGrid w:val="0"/>
          <w:color w:val="000000"/>
          <w:spacing w:val="6"/>
          <w:kern w:val="0"/>
          <w:sz w:val="31"/>
          <w:szCs w:val="31"/>
          <w:lang w:val="en-US" w:eastAsia="en-US" w:bidi="ar-SA"/>
        </w:rPr>
        <w:t>硕士研究生至少在省级以上刊物公开发表一篇学术论文，博士研究生至少在CSSCI期刊上公开发表一篇学术论文。</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（2）案例研究成果：纳入</w:t>
      </w:r>
      <w:bookmarkStart w:id="0" w:name="OLE_LINK2"/>
      <w:r>
        <w:rPr>
          <w:rFonts w:hint="eastAsia" w:ascii="仿宋" w:hAnsi="仿宋" w:eastAsia="仿宋" w:cs="仿宋"/>
          <w:snapToGrid w:val="0"/>
          <w:color w:val="000000"/>
          <w:spacing w:val="6"/>
          <w:kern w:val="0"/>
          <w:sz w:val="31"/>
          <w:szCs w:val="31"/>
          <w:lang w:val="en-US" w:eastAsia="zh-CN" w:bidi="ar-SA"/>
        </w:rPr>
        <w:t>教育部专业学位优秀案例、全国百篇优秀管理案例</w:t>
      </w:r>
      <w:bookmarkEnd w:id="0"/>
      <w:r>
        <w:rPr>
          <w:rFonts w:hint="eastAsia" w:ascii="仿宋" w:hAnsi="仿宋" w:eastAsia="仿宋" w:cs="仿宋"/>
          <w:snapToGrid w:val="0"/>
          <w:color w:val="000000"/>
          <w:spacing w:val="6"/>
          <w:kern w:val="0"/>
          <w:sz w:val="31"/>
          <w:szCs w:val="31"/>
          <w:lang w:val="en-US" w:eastAsia="zh-CN" w:bidi="ar-SA"/>
        </w:rPr>
        <w:t>、</w:t>
      </w:r>
      <w:bookmarkStart w:id="1" w:name="OLE_LINK3"/>
      <w:r>
        <w:rPr>
          <w:rFonts w:hint="eastAsia" w:ascii="仿宋" w:hAnsi="仿宋" w:eastAsia="仿宋" w:cs="仿宋"/>
          <w:snapToGrid w:val="0"/>
          <w:color w:val="000000"/>
          <w:spacing w:val="6"/>
          <w:kern w:val="0"/>
          <w:sz w:val="31"/>
          <w:szCs w:val="31"/>
          <w:lang w:val="en-US" w:eastAsia="zh-CN" w:bidi="ar-SA"/>
        </w:rPr>
        <w:t>各专业教指委入库案例</w:t>
      </w:r>
      <w:bookmarkEnd w:id="1"/>
      <w:r>
        <w:rPr>
          <w:rFonts w:hint="eastAsia" w:ascii="仿宋" w:hAnsi="仿宋" w:eastAsia="仿宋" w:cs="仿宋"/>
          <w:snapToGrid w:val="0"/>
          <w:color w:val="000000"/>
          <w:spacing w:val="6"/>
          <w:kern w:val="0"/>
          <w:sz w:val="31"/>
          <w:szCs w:val="31"/>
          <w:lang w:val="en-US" w:eastAsia="zh-CN" w:bidi="ar-SA"/>
        </w:rPr>
        <w:t>、哈佛案例库和毅伟案例库。</w:t>
      </w:r>
      <w:bookmarkStart w:id="2" w:name="OLE_LINK1"/>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（3）竞赛获奖成果：纳入东北财经大学国赛榜单（具体见附件）</w:t>
      </w:r>
      <w:bookmarkEnd w:id="2"/>
      <w:r>
        <w:rPr>
          <w:rFonts w:hint="eastAsia" w:ascii="仿宋" w:hAnsi="仿宋" w:eastAsia="仿宋" w:cs="仿宋"/>
          <w:snapToGrid w:val="0"/>
          <w:color w:val="000000"/>
          <w:spacing w:val="6"/>
          <w:kern w:val="0"/>
          <w:sz w:val="31"/>
          <w:szCs w:val="31"/>
          <w:lang w:val="en-US" w:eastAsia="zh-CN" w:bidi="ar-SA"/>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对案例研究及竞赛获奖成果，在评审中向专业型硕士研究生倾斜。</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 xml:space="preserve"> 在研究生基本修业年限内未参评过或参评未获奖的科研成果均可使用。允许使用未正式见刊但在知网或期刊官网首发的中文科研成果以及有DOI的英文科研成果。</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en-US" w:bidi="ar-SA"/>
        </w:rPr>
      </w:pPr>
      <w:r>
        <w:rPr>
          <w:rFonts w:hint="eastAsia" w:ascii="仿宋" w:hAnsi="仿宋" w:eastAsia="仿宋" w:cs="仿宋"/>
          <w:snapToGrid w:val="0"/>
          <w:color w:val="000000"/>
          <w:spacing w:val="6"/>
          <w:kern w:val="0"/>
          <w:sz w:val="31"/>
          <w:szCs w:val="31"/>
          <w:lang w:val="en-US" w:eastAsia="zh-CN" w:bidi="ar-SA"/>
        </w:rPr>
        <w:t xml:space="preserve">第六条 </w:t>
      </w:r>
      <w:r>
        <w:rPr>
          <w:rFonts w:hint="eastAsia" w:ascii="仿宋" w:hAnsi="仿宋" w:eastAsia="仿宋" w:cs="仿宋"/>
          <w:snapToGrid w:val="0"/>
          <w:color w:val="000000"/>
          <w:spacing w:val="6"/>
          <w:kern w:val="0"/>
          <w:sz w:val="31"/>
          <w:szCs w:val="31"/>
          <w:lang w:val="en-US" w:eastAsia="en-US" w:bidi="ar-SA"/>
        </w:rPr>
        <w:t>各类成果应在研究生在学期间获得，署名单位应为东北财经大学（新入学的研究生除外）。</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第七条 科研成果优先考虑学生第一作者或导师第一作者、学生第二作者（外文科研成果学生通讯作者视同第一作者），其他次序作者由评审组根据实际贡献界定，同一篇科研成果只允许一名学生使用。案例研究成果或竞赛获奖成果，优先主要完成人或团队负责人使用。</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第八条 对于第一作者为导师组导师的科研成果，导师组成员必须提前半年以上在研究</w:t>
      </w:r>
      <w:bookmarkStart w:id="3" w:name="_GoBack"/>
      <w:bookmarkEnd w:id="3"/>
      <w:r>
        <w:rPr>
          <w:rFonts w:hint="eastAsia" w:ascii="仿宋" w:hAnsi="仿宋" w:eastAsia="仿宋" w:cs="仿宋"/>
          <w:snapToGrid w:val="0"/>
          <w:color w:val="000000"/>
          <w:spacing w:val="6"/>
          <w:kern w:val="0"/>
          <w:sz w:val="31"/>
          <w:szCs w:val="31"/>
          <w:lang w:val="en-US" w:eastAsia="zh-CN" w:bidi="ar-SA"/>
        </w:rPr>
        <w:t>生院备案，并在申报过程中提供备案证明。</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第九条 本细则由党委学生工作部负责解释。</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default" w:ascii="仿宋" w:hAnsi="仿宋" w:eastAsia="仿宋" w:cs="仿宋"/>
          <w:snapToGrid w:val="0"/>
          <w:color w:val="000000"/>
          <w:spacing w:val="6"/>
          <w:kern w:val="0"/>
          <w:sz w:val="31"/>
          <w:szCs w:val="31"/>
          <w:lang w:val="en-US" w:eastAsia="zh-CN" w:bidi="ar-SA"/>
        </w:rPr>
      </w:pPr>
      <w:r>
        <w:rPr>
          <w:rFonts w:hint="eastAsia" w:ascii="仿宋" w:hAnsi="仿宋" w:eastAsia="仿宋" w:cs="仿宋"/>
          <w:snapToGrid w:val="0"/>
          <w:color w:val="000000"/>
          <w:spacing w:val="6"/>
          <w:kern w:val="0"/>
          <w:sz w:val="31"/>
          <w:szCs w:val="31"/>
          <w:lang w:val="en-US" w:eastAsia="zh-CN" w:bidi="ar-SA"/>
        </w:rPr>
        <w:t>第十条 本细则自颁布之日起施行。</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default" w:ascii="仿宋" w:hAnsi="仿宋" w:eastAsia="仿宋" w:cs="仿宋"/>
          <w:snapToGrid w:val="0"/>
          <w:color w:val="000000"/>
          <w:spacing w:val="6"/>
          <w:kern w:val="0"/>
          <w:sz w:val="31"/>
          <w:szCs w:val="31"/>
          <w:lang w:val="en-US" w:eastAsia="zh-CN" w:bidi="ar-SA"/>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51" w:lineRule="auto"/>
        <w:ind w:firstLine="644" w:firstLineChars="200"/>
        <w:textAlignment w:val="baseline"/>
        <w:rPr>
          <w:rFonts w:hint="eastAsia" w:ascii="仿宋" w:hAnsi="仿宋" w:eastAsia="仿宋" w:cs="仿宋"/>
          <w:snapToGrid w:val="0"/>
          <w:color w:val="000000"/>
          <w:spacing w:val="6"/>
          <w:kern w:val="0"/>
          <w:sz w:val="31"/>
          <w:szCs w:val="31"/>
          <w:lang w:val="en-US" w:eastAsia="zh-CN" w:bidi="ar-SA"/>
        </w:rPr>
      </w:pPr>
    </w:p>
    <w:sectPr>
      <w:footerReference r:id="rId5" w:type="default"/>
      <w:pgSz w:w="11906" w:h="16839"/>
      <w:pgMar w:top="1431" w:right="1503" w:bottom="400" w:left="155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984D6A"/>
    <w:multiLevelType w:val="singleLevel"/>
    <w:tmpl w:val="94984D6A"/>
    <w:lvl w:ilvl="0" w:tentative="0">
      <w:start w:val="5"/>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DY3NWE4NjQyMjhjMmIyMjdiMzlhYWUwODcxNmVkZjIifQ=="/>
  </w:docVars>
  <w:rsids>
    <w:rsidRoot w:val="00000000"/>
    <w:rsid w:val="00B5443F"/>
    <w:rsid w:val="04096F7B"/>
    <w:rsid w:val="04AC7907"/>
    <w:rsid w:val="05700779"/>
    <w:rsid w:val="06A411DD"/>
    <w:rsid w:val="07DC178D"/>
    <w:rsid w:val="0E4C705A"/>
    <w:rsid w:val="0ECF2B6F"/>
    <w:rsid w:val="11CA6225"/>
    <w:rsid w:val="13787E7B"/>
    <w:rsid w:val="16B94831"/>
    <w:rsid w:val="19D236AC"/>
    <w:rsid w:val="1CA10E81"/>
    <w:rsid w:val="1D556936"/>
    <w:rsid w:val="2312127B"/>
    <w:rsid w:val="272A1788"/>
    <w:rsid w:val="27AD7309"/>
    <w:rsid w:val="32057CF6"/>
    <w:rsid w:val="32C65EB4"/>
    <w:rsid w:val="351C1540"/>
    <w:rsid w:val="357D4824"/>
    <w:rsid w:val="403542CB"/>
    <w:rsid w:val="46053443"/>
    <w:rsid w:val="467B75C0"/>
    <w:rsid w:val="475A6773"/>
    <w:rsid w:val="48CC7A48"/>
    <w:rsid w:val="49C56A6D"/>
    <w:rsid w:val="49EB5DA8"/>
    <w:rsid w:val="4BC27C75"/>
    <w:rsid w:val="4E1C6E78"/>
    <w:rsid w:val="4EEF00E8"/>
    <w:rsid w:val="53FC752F"/>
    <w:rsid w:val="57671164"/>
    <w:rsid w:val="5E1F5D8A"/>
    <w:rsid w:val="5F814D8D"/>
    <w:rsid w:val="60863536"/>
    <w:rsid w:val="636E387A"/>
    <w:rsid w:val="65901886"/>
    <w:rsid w:val="68471B9F"/>
    <w:rsid w:val="735A1725"/>
    <w:rsid w:val="73614861"/>
    <w:rsid w:val="74885B55"/>
    <w:rsid w:val="760A11E0"/>
    <w:rsid w:val="77E864D6"/>
    <w:rsid w:val="79BC4EE7"/>
    <w:rsid w:val="79BF4D06"/>
    <w:rsid w:val="7A020420"/>
    <w:rsid w:val="7A3E58FC"/>
    <w:rsid w:val="7B7A0BB6"/>
    <w:rsid w:val="7EC363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Office_12.1.0.15374_F1E327BC-269C-435d-A152-05C5408002CA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2024-01-03T15:15:00Z</dcterms:created>
  <dc:creator>艾钰</dc:creator>
  <cp:lastModifiedBy>尹娜</cp:lastModifiedBy>
  <cp:lastPrinted>2025-05-06T05:18:00Z</cp:lastPrinted>
  <dcterms:modified xsi:type="dcterms:W3CDTF">2025-09-05T08:26:16Z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2024-01-12T09:54:25Z</vt:filetime>
  </property>
  <property fmtid="{D5CDD505-2E9C-101B-9397-08002B2CF9AE}" pid="4" name="KSOProductBuildVer">
    <vt:lpwstr>2052-12.1.0.15374</vt:lpwstr>
  </property>
  <property fmtid="{D5CDD505-2E9C-101B-9397-08002B2CF9AE}" pid="5" name="ICV">
    <vt:lpwstr>8B9BCDFD45F74CDABE2D082BEDD0985E_12</vt:lpwstr>
  </property>
</Properties>
</file>